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jpeg" ContentType="image/jpeg"/>
  <Override PartName="/word/media/image2.wmf" ContentType="image/x-wmf"/>
  <Override PartName="/word/embeddings/oleObject1.bin" ContentType="application/vnd.openxmlformats-officedocument.oleObjec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3.xml" ContentType="application/vnd.openxmlformats-officedocument.customXmlProperties+xml"/>
  <Override PartName="/customXml/itemProps1.xml" ContentType="application/vnd.openxmlformats-officedocument.customXmlProperties+xml"/>
  <Override PartName="/customXml/item2.xml" ContentType="application/xml"/>
  <Override PartName="/customXml/itemProps2.xml" ContentType="application/vnd.openxmlformats-officedocument.customXmlProperties+xml"/>
  <Override PartName="/customXml/_rels/item1.xml.rels" ContentType="application/vnd.openxmlformats-package.relationships+xml"/>
  <Override PartName="/customXml/_rels/item2.xml.rels" ContentType="application/vnd.openxmlformats-package.relationships+xml"/>
  <Override PartName="/customXml/_rels/item3.xml.rels" ContentType="application/vnd.openxmlformats-package.relationships+xml"/>
  <Override PartName="/customXml/item3.xml" ContentType="application/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0" t="0" r="0" b="0"/>
            <wp:wrapNone/>
            <wp:docPr id="1" name="Obraz 1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kol pol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object>
          <v:shapetype id="_x0000_tole_rId3" coordsize="21600,21600" o:spt="ole_rId3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le_rId3" type="_x0000_tole_rId3" style="width:49.5pt;height:63pt;mso-wrap-distance-right:0pt" filled="f" o:ole="">
            <v:imagedata r:id="rId4" o:title=""/>
          </v:shape>
          <o:OLEObject Type="Embed" ProgID="CorelDraw.Graphic.15" ShapeID="ole_rId3" DrawAspect="Content" ObjectID="_539904397" r:id="rId3"/>
        </w:objec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SYLABUS ZAJĘĆ</w: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Informacje ogólne</w:t>
      </w:r>
    </w:p>
    <w:p>
      <w:pPr>
        <w:pStyle w:val="Normal"/>
        <w:spacing w:lineRule="auto" w:line="276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</w:r>
    </w:p>
    <w:tbl>
      <w:tblPr>
        <w:tblW w:w="935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20"/>
        <w:gridCol w:w="4635"/>
      </w:tblGrid>
      <w:tr>
        <w:trPr>
          <w:trHeight w:val="397" w:hRule="atLeast"/>
        </w:trPr>
        <w:tc>
          <w:tcPr>
            <w:tcW w:w="93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Nazwa ZAJĘĆ: </w:t>
            </w:r>
            <w:r>
              <w:rPr>
                <w:rFonts w:eastAsia="Calibri"/>
                <w:b w:val="false"/>
                <w:bCs w:val="false"/>
                <w:i w:val="false"/>
                <w:iCs w:val="false"/>
                <w:lang w:eastAsia="en-US"/>
              </w:rPr>
              <w:t>Współpraca i komunikacja w zespole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Rodzaj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O</w:t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bowiązkowy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Wydział PUM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Wydział Nauk o Zdrowiu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Kierunek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Ratownictwo medyczne z BMSO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Specjalność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Poziom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jednolite magisterskie □</w:t>
            </w:r>
          </w:p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I stopnia</w:t>
            </w:r>
            <w:r>
              <w:rPr>
                <w:rFonts w:eastAsia="Calibri"/>
                <w:b/>
                <w:bCs/>
                <w:i/>
                <w:iCs/>
                <w:sz w:val="28"/>
                <w:szCs w:val="28"/>
                <w:lang w:eastAsia="en-US"/>
              </w:rPr>
              <w:t xml:space="preserve"> </w:t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</w:p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II stopnia □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bCs/>
                <w:i/>
                <w:lang w:eastAsia="en-US"/>
              </w:rPr>
              <w:t>stacjonarne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studiów /semestr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1</w:t>
            </w:r>
            <w:r>
              <w:rPr>
                <w:rFonts w:eastAsia="Calibri"/>
                <w:i/>
                <w:iCs/>
                <w:lang w:eastAsia="en-US"/>
              </w:rPr>
              <w:t xml:space="preserve"> rok/</w:t>
            </w:r>
            <w:r>
              <w:rPr>
                <w:rFonts w:eastAsia="Calibri"/>
                <w:i/>
                <w:iCs/>
                <w:lang w:eastAsia="en-US"/>
              </w:rPr>
              <w:t>2</w:t>
            </w:r>
            <w:r>
              <w:rPr>
                <w:rFonts w:eastAsia="Calibri"/>
                <w:i/>
                <w:iCs/>
                <w:lang w:eastAsia="en-US"/>
              </w:rPr>
              <w:t xml:space="preserve"> semestr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Liczba przypisanych punktów ECTS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3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Formy prowadzenia zajęć (liczba godzin)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 xml:space="preserve">wykłady – </w:t>
            </w:r>
            <w:r>
              <w:rPr>
                <w:rFonts w:eastAsia="Calibri"/>
                <w:i/>
                <w:iCs/>
                <w:lang w:eastAsia="en-US"/>
              </w:rPr>
              <w:t>10h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s</w:t>
            </w:r>
            <w:r>
              <w:rPr>
                <w:rFonts w:eastAsia="Calibri"/>
                <w:i/>
                <w:iCs/>
                <w:lang w:eastAsia="en-US"/>
              </w:rPr>
              <w:t>eminaria – 10h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 xml:space="preserve">ćwiczenia – </w:t>
            </w:r>
            <w:r>
              <w:rPr>
                <w:rFonts w:eastAsia="Calibri"/>
                <w:i/>
                <w:iCs/>
                <w:lang w:eastAsia="en-US"/>
              </w:rPr>
              <w:t>10h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Sposoby weryfikacji i oceny efektów uczenia się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zaliczenie na ocenę:</w:t>
            </w:r>
          </w:p>
          <w:p>
            <w:pPr>
              <w:pStyle w:val="Normal"/>
              <w:rPr>
                <w:rFonts w:eastAsia="Calibri"/>
                <w:bCs/>
                <w:i/>
                <w:i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/>
              <w:tab/>
            </w:r>
            <w:r>
              <w:rPr>
                <w:rFonts w:eastAsia="Calibri"/>
                <w:i/>
                <w:iCs/>
                <w:lang w:eastAsia="en-US"/>
              </w:rPr>
              <w:t>opisowe</w:t>
            </w:r>
          </w:p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         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testowe</w:t>
            </w:r>
          </w:p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  <w:r>
              <w:rPr/>
              <w:tab/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praktyczne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□</w:t>
            </w:r>
            <w:r>
              <w:rPr>
                <w:rFonts w:eastAsia="Calibri"/>
                <w:i/>
                <w:lang w:eastAsia="en-US"/>
              </w:rPr>
              <w:tab/>
              <w:t>ustne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numPr>
                <w:ilvl w:val="0"/>
                <w:numId w:val="5"/>
              </w:numPr>
              <w:ind w:hanging="360" w:left="347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zaliczenie bez oceny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egzamin końcowy: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opisowy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testowy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praktyczny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ustny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Prof. dr hab. n. zdr. Beata Karakiewicz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Adiunkt dydaktyczny lub osoba odpowiedzialna za przedmiot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mgr Krzysztof Dąbrowski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Katedra Medycyny Społecznej.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Zakład Medycyny Społecznej i Zdrowia Publicznego; Pomorski Uniwersytet Medyczny w Szczecinie,</w:t>
            </w:r>
            <w:r>
              <w:rPr>
                <w:rFonts w:eastAsia="Calibri"/>
                <w:lang w:eastAsia="en-US"/>
              </w:rPr>
              <w:t xml:space="preserve"> </w:t>
            </w:r>
            <w:r>
              <w:rPr/>
              <w:br/>
            </w:r>
            <w:r>
              <w:rPr>
                <w:rFonts w:eastAsia="Calibri"/>
                <w:lang w:eastAsia="en-US"/>
              </w:rPr>
              <w:t>ul. Żołnierska 48, pok. 303,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71-210 Szczecin. tel. +48 91 48 00 920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Strona internetowa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https://www.pum.edu.pl/studenci/informacje_z_jednostek/wnoz/katedra_medycyny_spolecznej/zaklad_medycyny_spolecznej_i_zdrowia_publicznego/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tabs>
                <w:tab w:val="clear" w:pos="708"/>
                <w:tab w:val="left" w:pos="4073" w:leader="none"/>
              </w:tabs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i/>
                <w:lang w:eastAsia="en-US"/>
              </w:rPr>
              <w:t>polski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</w:r>
    </w:p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bCs/>
          <w:lang w:eastAsia="en-US"/>
        </w:rPr>
        <w:t xml:space="preserve">     </w:t>
      </w:r>
      <w:r>
        <w:rPr>
          <w:rFonts w:eastAsia="Calibri"/>
          <w:b/>
          <w:bCs/>
          <w:lang w:eastAsia="en-US"/>
        </w:rPr>
        <w:t>*zaznaczyć odpowiednio, zmieniając □ na X</w:t>
      </w:r>
    </w:p>
    <w:p>
      <w:pPr>
        <w:pStyle w:val="Normal"/>
        <w:spacing w:lineRule="auto" w:line="276" w:before="0" w:after="200"/>
        <w:jc w:val="center"/>
        <w:rPr>
          <w:rFonts w:eastAsia="Calibri"/>
          <w:b/>
          <w:bCs/>
          <w:lang w:eastAsia="en-US"/>
        </w:rPr>
      </w:pPr>
      <w:r>
        <w:rPr>
          <w:rFonts w:eastAsia="Calibri"/>
          <w:b/>
          <w:bCs/>
          <w:lang w:eastAsia="en-US"/>
        </w:rPr>
        <w:t>Informacje szczegółowe</w:t>
      </w:r>
    </w:p>
    <w:tbl>
      <w:tblPr>
        <w:tblW w:w="9552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392"/>
        <w:gridCol w:w="1888"/>
        <w:gridCol w:w="5272"/>
      </w:tblGrid>
      <w:tr>
        <w:trPr>
          <w:trHeight w:val="397" w:hRule="atLeast"/>
        </w:trPr>
        <w:tc>
          <w:tcPr>
            <w:tcW w:w="4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Cele zajęć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>Celem zajęć jest nabycie przez studentów umiejętności wykorzystania technik komunikacji i kanałów komunikacji do pracy z pacjentem, jego rodziną, współpracownikami i przełożonym w celu zwiększenia efektywności współpracy w zespole opieki zdrowotnej.</w:t>
            </w:r>
          </w:p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>Nabycie wiedzy wykorzystania różnych socjotechnik (perswazji, wywierania wpływu) dla poprawy komunikacji interpersonalnej i efektywniejszego realizowania zamierzonych celów w pracy z pacjentem i życiu osobistym.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/>
            </w:pPr>
            <w:r>
              <w:rPr>
                <w:rFonts w:eastAsia="Calibri"/>
                <w:lang w:eastAsia="en-US"/>
              </w:rPr>
              <w:t>Wykształcenie umiejętności pracy własnej z przekonaniami, wartościami, tożsamością i misją, jak i pracy na tych poziomach ze współpracownikami i pacjentami.</w:t>
            </w:r>
          </w:p>
        </w:tc>
      </w:tr>
      <w:tr>
        <w:trPr>
          <w:trHeight w:val="397" w:hRule="atLeast"/>
        </w:trPr>
        <w:tc>
          <w:tcPr>
            <w:tcW w:w="23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highlight w:val="yellow"/>
                <w:lang w:eastAsia="en-US"/>
              </w:rPr>
            </w:pPr>
            <w:r>
              <w:rPr>
                <w:rFonts w:eastAsia="Calibri"/>
                <w:lang w:eastAsia="en-US"/>
              </w:rPr>
              <w:t>Wymagania wstępne w zakresie</w:t>
            </w:r>
          </w:p>
        </w:tc>
        <w:tc>
          <w:tcPr>
            <w:tcW w:w="1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 w:val="false"/>
                <w:i w:val="false"/>
                <w:iCs w:val="false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Podstawowe umiejętności komunikacyjne oraz wiedza w zakresie organizacji i funkcjonowania podstawowej opieki zdrowotnej w Polsce i na świecie, z uwzględnieniem zadań pielęgniarki i innych pracowników ochrony zdrowia</w:t>
            </w:r>
          </w:p>
        </w:tc>
      </w:tr>
      <w:tr>
        <w:trPr>
          <w:trHeight w:val="397" w:hRule="atLeast"/>
        </w:trPr>
        <w:tc>
          <w:tcPr>
            <w:tcW w:w="239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Współpracy w grupie i zasad działania zespołu</w:t>
            </w:r>
          </w:p>
        </w:tc>
      </w:tr>
      <w:tr>
        <w:trPr>
          <w:trHeight w:val="397" w:hRule="atLeast"/>
        </w:trPr>
        <w:tc>
          <w:tcPr>
            <w:tcW w:w="239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Otwartość, wrażliwość na innych oraz szacunek do rozmówcy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tbl>
      <w:tblPr>
        <w:tblW w:w="10065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778"/>
        <w:gridCol w:w="2846"/>
        <w:gridCol w:w="472"/>
        <w:gridCol w:w="115"/>
        <w:gridCol w:w="614"/>
        <w:gridCol w:w="612"/>
        <w:gridCol w:w="611"/>
        <w:gridCol w:w="739"/>
        <w:gridCol w:w="485"/>
        <w:gridCol w:w="611"/>
        <w:gridCol w:w="618"/>
        <w:gridCol w:w="559"/>
        <w:gridCol w:w="3"/>
      </w:tblGrid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EFEKTY UCZENIA SIĘ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63" w:hRule="atLeast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Student, który zaliczył ZAJĘCIA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wie/umie/potrafi:</w:t>
            </w:r>
          </w:p>
        </w:tc>
        <w:tc>
          <w:tcPr>
            <w:tcW w:w="2576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SYMBOL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(odniesienie do)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efektów uczenia się dla kierunku</w:t>
            </w:r>
          </w:p>
        </w:tc>
        <w:tc>
          <w:tcPr>
            <w:tcW w:w="2273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Sposób weryfikacji efektów UCZENIA SIĘ*</w:t>
            </w:r>
          </w:p>
          <w:p>
            <w:pPr>
              <w:pStyle w:val="Normal"/>
              <w:spacing w:lineRule="auto" w:line="276"/>
              <w:jc w:val="center"/>
              <w:rPr>
                <w:b/>
                <w:strike/>
              </w:rPr>
            </w:pPr>
            <w:r>
              <w:rPr>
                <w:b/>
                <w:strike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</w:t>
            </w:r>
            <w:r>
              <w:rPr/>
              <w:t>pisać zasady komunikacji w sytuacjach typowych dla wykonywania zawodu ratownika medycznego;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B.W19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K01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aktywnie słuchać, nawiązywać kontakty interpersonalne, skutecznie i empatycznie porozumiewać się z pacjentem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O, S, </w:t>
            </w:r>
            <w:r>
              <w:rPr>
                <w:sz w:val="22"/>
                <w:szCs w:val="22"/>
              </w:rPr>
              <w:t>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K02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 xml:space="preserve">organizować pracę własną i współpracę w zespole 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specjalistów, w tym z przedstawicielami innych zawodów medycznych, także w środowisku wielokulturowym i wielonarodowościowym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O, S, </w:t>
            </w:r>
            <w:r>
              <w:rPr>
                <w:sz w:val="22"/>
                <w:szCs w:val="22"/>
              </w:rPr>
              <w:t>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03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dostrzeg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ać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i rozpoznawa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ć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własn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e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ogranicze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nia,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dokonywa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ć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samooceny deficytów i potrzeb edukacyjnych;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5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O, S, </w:t>
            </w:r>
            <w:r>
              <w:rPr>
                <w:sz w:val="22"/>
                <w:szCs w:val="22"/>
              </w:rPr>
              <w:t>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spacing w:lineRule="auto" w:line="276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 efektów UCZENIA SIĘ</w:t>
            </w:r>
            <w:r>
              <w:rPr>
                <w:rFonts w:eastAsia="Calibri"/>
                <w:b/>
                <w:lang w:eastAsia="en-US"/>
              </w:rPr>
              <w:t xml:space="preserve"> w odniesieniu do formy zajęć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23" w:hRule="atLeast"/>
          <w:cantSplit w:val="true"/>
        </w:trPr>
        <w:tc>
          <w:tcPr>
            <w:tcW w:w="1778" w:type="dxa"/>
            <w:vMerge w:val="restart"/>
            <w:tcBorders>
              <w:top w:val="single" w:sz="6" w:space="0" w:color="000000"/>
              <w:left w:val="single" w:sz="6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vMerge w:val="restart"/>
            <w:tcBorders>
              <w:top w:val="single" w:sz="6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Efekty uczenia się</w:t>
            </w:r>
          </w:p>
        </w:tc>
        <w:tc>
          <w:tcPr>
            <w:tcW w:w="4852" w:type="dxa"/>
            <w:gridSpan w:val="9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>
        <w:trPr>
          <w:trHeight w:val="1561" w:hRule="atLeast"/>
          <w:cantSplit w:val="true"/>
        </w:trPr>
        <w:tc>
          <w:tcPr>
            <w:tcW w:w="1778" w:type="dxa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3433" w:type="dxa"/>
            <w:gridSpan w:val="3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614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Wykład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Seminarium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 kliniczne</w:t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Symulacje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E-learning</w:t>
            </w:r>
          </w:p>
        </w:tc>
        <w:tc>
          <w:tcPr>
            <w:tcW w:w="618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PWS</w:t>
            </w:r>
          </w:p>
        </w:tc>
        <w:tc>
          <w:tcPr>
            <w:tcW w:w="562" w:type="dxa"/>
            <w:gridSpan w:val="2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</w:t>
            </w:r>
            <w:r>
              <w:rPr>
                <w:sz w:val="22"/>
                <w:szCs w:val="22"/>
              </w:rPr>
              <w:t>W19</w:t>
            </w:r>
          </w:p>
        </w:tc>
        <w:tc>
          <w:tcPr>
            <w:tcW w:w="614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X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K</w:t>
            </w:r>
            <w:r>
              <w:rPr/>
              <w:t>0</w:t>
            </w:r>
            <w:r>
              <w:rPr/>
              <w:t>1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614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K02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X</w:t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K03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5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TABELA TREŚCI PROGRAMOWYCH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Lp. treści programowej</w:t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Treści programowe</w:t>
            </w:r>
          </w:p>
        </w:tc>
        <w:tc>
          <w:tcPr>
            <w:tcW w:w="13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Liczba godzin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Odniesienie do efektów uczenia się do ZAJĘĆ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72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Semestr letni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72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Wykłady:</w:t>
            </w:r>
          </w:p>
        </w:tc>
        <w:tc>
          <w:tcPr>
            <w:tcW w:w="13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10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</w:t>
            </w:r>
            <w:r>
              <w:rPr>
                <w:rFonts w:eastAsia="Calibri"/>
                <w:u w:val="single"/>
                <w:lang w:eastAsia="en-US"/>
              </w:rPr>
              <w:t>_</w:t>
            </w: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Modele i style komunikacji interpersonalnej – sposoby zarządzania i negocjowanie w zespole</w:t>
            </w:r>
          </w:p>
        </w:tc>
        <w:tc>
          <w:tcPr>
            <w:tcW w:w="13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2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/>
                <w:i/>
                <w:iCs/>
              </w:rPr>
            </w:pPr>
            <w:r>
              <w:rPr>
                <w:i/>
                <w:iCs/>
              </w:rPr>
              <w:t>Jak radzić sobie z konfliktem? Szukanie konsensusu w trudnych sytuacjach.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W01, K02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3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/>
                <w:i/>
                <w:iCs/>
              </w:rPr>
            </w:pPr>
            <w:r>
              <w:rPr>
                <w:b w:val="false"/>
                <w:bCs w:val="false"/>
                <w:i/>
                <w:iCs/>
              </w:rPr>
              <w:t>Rola komunikacji niewerbalnej na pracę w zespole.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W01, K02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4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59"/>
              <w:jc w:val="left"/>
              <w:rPr>
                <w:i/>
                <w:i/>
                <w:iCs/>
                <w:u w:val="none"/>
              </w:rPr>
            </w:pPr>
            <w:r>
              <w:rPr>
                <w:b w:val="false"/>
                <w:bCs w:val="false"/>
                <w:i/>
                <w:iCs/>
                <w:u w:val="none"/>
              </w:rPr>
              <w:t>Struktura skutecznych negocjacji międzykulturowych.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W01, K02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/>
                <w:bCs/>
                <w:i w:val="false"/>
                <w:i w:val="false"/>
                <w:iCs w:val="false"/>
                <w:lang w:eastAsia="en-US"/>
              </w:rPr>
            </w:pPr>
            <w:r>
              <w:rPr>
                <w:b/>
                <w:bCs/>
                <w:i w:val="false"/>
                <w:iCs w:val="false"/>
              </w:rPr>
              <w:t>Seminaria</w:t>
            </w:r>
            <w:r>
              <w:rPr>
                <w:b/>
                <w:bCs/>
                <w:i w:val="false"/>
                <w:iCs w:val="false"/>
              </w:rPr>
              <w:t>: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10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1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Identyfikacja barier komunikacyjnych – trening komunikacji w zespole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lang w:eastAsia="en-US"/>
              </w:rPr>
            </w:pPr>
            <w:r>
              <w:rPr>
                <w:rFonts w:eastAsia="Calibri"/>
                <w:b w:val="false"/>
                <w:bCs w:val="false"/>
                <w:lang w:eastAsia="en-US"/>
              </w:rPr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2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/>
                <w:i/>
                <w:iCs/>
              </w:rPr>
            </w:pPr>
            <w:r>
              <w:rPr>
                <w:i/>
                <w:iCs/>
              </w:rPr>
              <w:t xml:space="preserve">Podstawy zarządzania </w:t>
            </w:r>
            <w:r>
              <w:rPr>
                <w:i/>
                <w:iCs/>
              </w:rPr>
              <w:t>zespołem w</w:t>
            </w:r>
            <w:r>
              <w:rPr>
                <w:i/>
                <w:iCs/>
              </w:rPr>
              <w:t xml:space="preserve"> zakład</w:t>
            </w:r>
            <w:r>
              <w:rPr>
                <w:i/>
                <w:iCs/>
              </w:rPr>
              <w:t>ach</w:t>
            </w:r>
            <w:r>
              <w:rPr>
                <w:i/>
                <w:iCs/>
              </w:rPr>
              <w:t xml:space="preserve"> opieki zdrowotnej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lang w:eastAsia="en-US"/>
              </w:rPr>
            </w:pPr>
            <w:r>
              <w:rPr>
                <w:rFonts w:eastAsia="Calibri"/>
                <w:b w:val="false"/>
                <w:bCs w:val="false"/>
                <w:lang w:eastAsia="en-US"/>
              </w:rPr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3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/>
                <w:i/>
                <w:iCs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Struktura skutecznej pracy w zespole – motywacja a interakcje społeczne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lang w:eastAsia="en-US"/>
              </w:rPr>
            </w:pPr>
            <w:r>
              <w:rPr>
                <w:rFonts w:eastAsia="Calibri"/>
                <w:b w:val="false"/>
                <w:bCs w:val="false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/>
                <w:bCs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b/>
                <w:bCs/>
                <w:i w:val="false"/>
                <w:iCs w:val="false"/>
                <w:lang w:eastAsia="en-US"/>
              </w:rPr>
              <w:t>Ćwiczenia: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1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Funkcjonowanie grupy, organizacji, instytucji, populacji, społeczności i ekosystemu – teoria i ćwiczenia praktyczne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6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2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Kreatywne rozwiązywanie problemów w zespole i sztuka kompromisu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Zalecana literatura: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podstawowa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1.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Bielińska I., Jakubczyńska Z. :</w:t>
            </w:r>
            <w:r>
              <w:rPr>
                <w:rFonts w:eastAsia="Calibri"/>
                <w:i/>
                <w:iCs/>
                <w:lang w:val="fr-FR" w:eastAsia="en-US"/>
              </w:rPr>
              <w:t xml:space="preserve">Efektywny zespół. Jak razem osiągnąć więcej ? Strategie budowania silnego zespołu ;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wyd. Samo sedno, 2016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2. Dobska M., Rogoziński K.: </w:t>
            </w:r>
            <w:r>
              <w:rPr>
                <w:rFonts w:eastAsia="Calibri"/>
                <w:i/>
                <w:iCs/>
                <w:lang w:val="fr-FR" w:eastAsia="en-US"/>
              </w:rPr>
              <w:t>Podstawy zarządzania zakładem opieki zdrowotnej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Nukowe PWN, Warszawa 2008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uzupełniająca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1. Kwaśniewska J. M.: </w:t>
            </w:r>
            <w:r>
              <w:rPr>
                <w:rFonts w:eastAsia="Calibri"/>
                <w:i/>
                <w:iCs/>
                <w:lang w:eastAsia="en-US"/>
              </w:rPr>
              <w:t>Droga do kreacji, czyli trening twórczości XXI wieku</w:t>
            </w:r>
            <w:r>
              <w:rPr>
                <w:rFonts w:eastAsia="Calibri"/>
                <w:i w:val="false"/>
                <w:iCs w:val="false"/>
                <w:lang w:eastAsia="en-US"/>
              </w:rPr>
              <w:t>; Wyd. Naukowe PWN, Warszawa 2023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2. Sanchez R., Bullock D.: </w:t>
            </w:r>
            <w:r>
              <w:rPr>
                <w:rFonts w:eastAsia="Calibri"/>
                <w:i/>
                <w:iCs/>
                <w:lang w:val="fr-FR" w:eastAsia="en-US"/>
              </w:rPr>
              <w:t>Jak komunikować się efektywnie? Paszport do komunikacji globalnej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Rebis, Poznań 2022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3. Duhigg C.: </w:t>
            </w:r>
            <w:r>
              <w:rPr>
                <w:rFonts w:eastAsia="Calibri"/>
                <w:i/>
                <w:iCs/>
                <w:lang w:val="fr-FR" w:eastAsia="en-US"/>
              </w:rPr>
              <w:t>Siła komunikacji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Naukowe PWN, Warszawa 2024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Nakład pracy studenta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nakładu pracy studenta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(udział w zajęciach, aktywność, przygotowanie sprawozdania, itp.)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Obciążenie studenta [h]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 ocenie (opinii) nauczyciela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Godziny kontaktowe z nauczycielem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E-learning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ćwiczeń/seminarium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Czytanie wskazanej literatury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prac pisemnych (zadań)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kolokwium/kartkówki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testu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Sumaryczne obciążenie pracy studenta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75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Punkty ECTS</w:t>
            </w:r>
          </w:p>
        </w:tc>
        <w:tc>
          <w:tcPr>
            <w:tcW w:w="5436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Uwagi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ZALICZENIA: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Zaliczenie zadania zleconego przez wykładowcę ocenionego zgodnie z wytycznymi przedstawionymi na pierwszych zajęciach.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Obecność i aktywne uczestniczenie zajęciach.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WARUNEK ZALICZENIA:</w:t>
            </w:r>
          </w:p>
          <w:p>
            <w:pPr>
              <w:pStyle w:val="ListParagraph"/>
              <w:numPr>
                <w:ilvl w:val="0"/>
                <w:numId w:val="3"/>
              </w:numPr>
              <w:spacing w:lineRule="auto" w:line="240" w:beforeAutospacing="0" w:before="240" w:afterAutospacing="0" w:after="240"/>
              <w:contextualSpacing/>
              <w:jc w:val="left"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Wykonanie i prezentacja zadania, odnoszącego się do treści zajęć zgodnie z wytycznymi wykładowcy, przedstawionymi na pierwszych zajęciach,</w:t>
            </w:r>
          </w:p>
          <w:p>
            <w:pPr>
              <w:pStyle w:val="ListParagraph"/>
              <w:numPr>
                <w:ilvl w:val="0"/>
                <w:numId w:val="2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aktywne uczestnictwo w pracach grupowych i indywidualnych podczas zajęć,</w:t>
            </w:r>
          </w:p>
          <w:p>
            <w:pPr>
              <w:pStyle w:val="ListParagraph"/>
              <w:numPr>
                <w:ilvl w:val="0"/>
                <w:numId w:val="1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obecność na wszystkich zajęciach lub usprawiedliwienie oraz nadrobienie nieobecności (w sposób określony przez wykładowcę) </w:t>
            </w: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–</w:t>
            </w: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 zgodnie z Regulaminem studiów PUM.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</w:tbl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*Przykładowe sposoby weryfikacji efektów kształcenia: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 – egzamin pisemny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EU - egzamin ustny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ET – egzamin testowy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EPR – egzamin praktyczny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K – kolokwium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 – referat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 – sprawdzenie umiejętności praktycznych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RZĆ – raport z ćwiczeń z dyskusją wyników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O - ocena aktywności i postawy studenta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SL - sprawozdanie laboratoryjne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SP – studium przypadku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PS - ocena umiejętności pracy samodzielnej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W – kartkówka przed rozpoczęciem zajęć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PM – prezentacja multimedialna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i inne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sectPr>
      <w:footerReference w:type="default" r:id="rId5"/>
      <w:type w:val="nextPage"/>
      <w:pgSz w:w="11906" w:h="16838"/>
      <w:pgMar w:left="851" w:right="991" w:gutter="0" w:header="0" w:top="567" w:footer="82" w:bottom="567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Tahoma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Arial">
    <w:charset w:val="ee"/>
    <w:family w:val="roman"/>
    <w:pitch w:val="variable"/>
  </w:font>
  <w:font w:name="Times New Roman">
    <w:charset w:val="01"/>
    <w:family w:val="roman"/>
    <w:pitch w:val="variable"/>
  </w:font>
  <w:font w:name="Aptos">
    <w:charset w:val="01"/>
    <w:family w:val="auto"/>
    <w:pitch w:val="default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>
        <w:sz w:val="16"/>
      </w:rPr>
    </w:pPr>
    <w:r>
      <w:rPr>
        <w:sz w:val="16"/>
      </w:rPr>
    </w:r>
  </w:p>
  <w:p>
    <w:pPr>
      <w:pStyle w:val="Footer"/>
      <w:jc w:val="right"/>
      <w:rPr>
        <w:sz w:val="16"/>
      </w:rPr>
    </w:pPr>
    <w:r>
      <w:rPr>
        <w:sz w:val="16"/>
      </w:rPr>
      <w:t xml:space="preserve">Strona </w:t>
    </w:r>
    <w:r>
      <w:rPr>
        <w:b/>
        <w:sz w:val="16"/>
      </w:rPr>
      <w:fldChar w:fldCharType="begin"/>
    </w:r>
    <w:r>
      <w:rPr>
        <w:sz w:val="16"/>
        <w:b/>
      </w:rPr>
      <w:instrText xml:space="preserve"> PAGE </w:instrText>
    </w:r>
    <w:r>
      <w:rPr>
        <w:sz w:val="16"/>
        <w:b/>
      </w:rPr>
      <w:fldChar w:fldCharType="separate"/>
    </w:r>
    <w:r>
      <w:rPr>
        <w:sz w:val="16"/>
        <w:b/>
      </w:rPr>
      <w:t>5</w:t>
    </w:r>
    <w:r>
      <w:rPr>
        <w:sz w:val="16"/>
        <w:b/>
      </w:rPr>
      <w:fldChar w:fldCharType="end"/>
    </w:r>
    <w:r>
      <w:rPr>
        <w:sz w:val="16"/>
      </w:rPr>
      <w:t xml:space="preserve"> z </w:t>
    </w:r>
    <w:r>
      <w:rPr>
        <w:b/>
        <w:sz w:val="16"/>
      </w:rPr>
      <w:fldChar w:fldCharType="begin"/>
    </w:r>
    <w:r>
      <w:rPr>
        <w:sz w:val="16"/>
        <w:b/>
      </w:rPr>
      <w:instrText xml:space="preserve"> NUMPAGES </w:instrText>
    </w:r>
    <w:r>
      <w:rPr>
        <w:sz w:val="16"/>
        <w:b/>
      </w:rPr>
      <w:fldChar w:fldCharType="separate"/>
    </w:r>
    <w:r>
      <w:rPr>
        <w:sz w:val="16"/>
        <w:b/>
      </w:rPr>
      <w:t>5</w:t>
    </w:r>
    <w:r>
      <w:rPr>
        <w:sz w:val="16"/>
        <w:b/>
      </w:rPr>
      <w:fldChar w:fldCharType="end"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bullet"/>
      <w:lvlText w:val="□"/>
      <w:lvlJc w:val="center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>
    <w:lvl w:ilvl="0">
      <w:start w:val="1"/>
      <w:numFmt w:val="bullet"/>
      <w:lvlText w:val="□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w="http://schemas.openxmlformats.org/wordprocessingml/2006/main">
  <w:zoom w:percent="110"/>
  <w:embedSystemFonts/>
  <w:defaultTabStop w:val="708"/>
  <w:autoHyphenation w:val="true"/>
  <w:compat>
    <w:doNotBreakWrappedTables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pl-PL" w:eastAsia="ja-JP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567b9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pl-PL" w:eastAsia="pl-PL" w:bidi="ar-SA"/>
    </w:rPr>
  </w:style>
  <w:style w:type="paragraph" w:styleId="Heading1">
    <w:name w:val="Heading 1"/>
    <w:basedOn w:val="Normal"/>
    <w:next w:val="Normal"/>
    <w:link w:val="Nagwek1Znak"/>
    <w:qFormat/>
    <w:pPr>
      <w:keepNext w:val="true"/>
      <w:outlineLvl w:val="0"/>
    </w:pPr>
    <w:rPr>
      <w:b/>
      <w:bCs/>
    </w:rPr>
  </w:style>
  <w:style w:type="character" w:styleId="DefaultParagraphFont" w:default="1">
    <w:name w:val="Default Paragraph Font"/>
    <w:uiPriority w:val="1"/>
    <w:unhideWhenUsed/>
    <w:qFormat/>
    <w:rPr/>
  </w:style>
  <w:style w:type="character" w:styleId="Hyperlink">
    <w:name w:val="Hyperlink"/>
    <w:uiPriority w:val="99"/>
    <w:unhideWhenUsed/>
    <w:rsid w:val="00ef78c4"/>
    <w:rPr>
      <w:strike w:val="false"/>
      <w:dstrike w:val="false"/>
      <w:color w:val="BE0404"/>
      <w:u w:val="none"/>
      <w:effect w:val="none"/>
    </w:rPr>
  </w:style>
  <w:style w:type="character" w:styleId="Annotationreference">
    <w:name w:val="annotation reference"/>
    <w:uiPriority w:val="99"/>
    <w:semiHidden/>
    <w:unhideWhenUsed/>
    <w:qFormat/>
    <w:rsid w:val="00c02770"/>
    <w:rPr>
      <w:sz w:val="16"/>
      <w:szCs w:val="16"/>
    </w:rPr>
  </w:style>
  <w:style w:type="character" w:styleId="TekstkomentarzaZnak" w:customStyle="1">
    <w:name w:val="Tekst komentarza Znak"/>
    <w:basedOn w:val="DefaultParagraphFont"/>
    <w:link w:val="Annotationtext"/>
    <w:uiPriority w:val="99"/>
    <w:semiHidden/>
    <w:qFormat/>
    <w:rsid w:val="00c02770"/>
    <w:rPr/>
  </w:style>
  <w:style w:type="character" w:styleId="TematkomentarzaZnak" w:customStyle="1">
    <w:name w:val="Temat komentarza Znak"/>
    <w:link w:val="Annotationsubject"/>
    <w:uiPriority w:val="99"/>
    <w:semiHidden/>
    <w:qFormat/>
    <w:rsid w:val="00c02770"/>
    <w:rPr>
      <w:b/>
      <w:bCs/>
    </w:rPr>
  </w:style>
  <w:style w:type="character" w:styleId="TekstdymkaZnak" w:customStyle="1">
    <w:name w:val="Tekst dymka Znak"/>
    <w:link w:val="BalloonText"/>
    <w:uiPriority w:val="99"/>
    <w:semiHidden/>
    <w:qFormat/>
    <w:rsid w:val="00c02770"/>
    <w:rPr>
      <w:rFonts w:ascii="Tahoma" w:hAnsi="Tahoma" w:cs="Tahoma"/>
      <w:sz w:val="16"/>
      <w:szCs w:val="16"/>
    </w:rPr>
  </w:style>
  <w:style w:type="character" w:styleId="TekstprzypisudolnegoZnak" w:customStyle="1">
    <w:name w:val="Tekst przypisu dolnego Znak"/>
    <w:basedOn w:val="DefaultParagraphFont"/>
    <w:uiPriority w:val="99"/>
    <w:semiHidden/>
    <w:qFormat/>
    <w:rsid w:val="00190dc4"/>
    <w:rPr/>
  </w:style>
  <w:style w:type="character" w:styleId="Znakiprzypiswdolnych">
    <w:name w:val="Znaki przypisów dolnych"/>
    <w:uiPriority w:val="99"/>
    <w:semiHidden/>
    <w:unhideWhenUsed/>
    <w:qFormat/>
    <w:rsid w:val="00190dc4"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Nagwek1Znak" w:customStyle="1">
    <w:name w:val="Nagłówek 1 Znak"/>
    <w:qFormat/>
    <w:rsid w:val="00190dc4"/>
    <w:rPr>
      <w:b/>
      <w:bCs/>
      <w:sz w:val="24"/>
      <w:szCs w:val="24"/>
    </w:rPr>
  </w:style>
  <w:style w:type="character" w:styleId="NagwekZnak" w:customStyle="1">
    <w:name w:val="Nagłówek Znak"/>
    <w:uiPriority w:val="99"/>
    <w:qFormat/>
    <w:rsid w:val="00146b7d"/>
    <w:rPr>
      <w:sz w:val="24"/>
      <w:szCs w:val="24"/>
    </w:rPr>
  </w:style>
  <w:style w:type="character" w:styleId="StopkaZnak" w:customStyle="1">
    <w:name w:val="Stopka Znak"/>
    <w:uiPriority w:val="99"/>
    <w:qFormat/>
    <w:rsid w:val="00146b7d"/>
    <w:rPr>
      <w:sz w:val="24"/>
      <w:szCs w:val="24"/>
    </w:rPr>
  </w:style>
  <w:style w:type="character" w:styleId="TekstprzypisukocowegoZnak" w:customStyle="1">
    <w:name w:val="Tekst przypisu końcowego Znak"/>
    <w:basedOn w:val="DefaultParagraphFont"/>
    <w:uiPriority w:val="99"/>
    <w:semiHidden/>
    <w:qFormat/>
    <w:rsid w:val="00942aac"/>
    <w:rPr/>
  </w:style>
  <w:style w:type="character" w:styleId="Znakiprzypiswkocowych">
    <w:name w:val="Znaki przypisów końcowych"/>
    <w:uiPriority w:val="99"/>
    <w:semiHidden/>
    <w:unhideWhenUsed/>
    <w:qFormat/>
    <w:rsid w:val="00942aac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UnresolvedMention">
    <w:name w:val="Unresolved Mention"/>
    <w:uiPriority w:val="99"/>
    <w:semiHidden/>
    <w:unhideWhenUsed/>
    <w:qFormat/>
    <w:rsid w:val="00c162a4"/>
    <w:rPr>
      <w:color w:val="605E5C"/>
      <w:shd w:fill="E1DFDD" w:val="clear"/>
    </w:rPr>
  </w:style>
  <w:style w:type="paragraph" w:styleId="Nagwek">
    <w:name w:val="Nagłówek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192"/>
    </w:pPr>
    <w:rPr>
      <w:rFonts w:ascii="Arial" w:hAnsi="Arial" w:cs="Arial"/>
      <w:sz w:val="28"/>
      <w:szCs w:val="20"/>
    </w:rPr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Lucida Sans"/>
    </w:rPr>
  </w:style>
  <w:style w:type="paragraph" w:styleId="BodyTextIndent">
    <w:name w:val="Body Text Indent"/>
    <w:basedOn w:val="Normal"/>
    <w:pPr>
      <w:spacing w:lineRule="auto" w:line="192"/>
      <w:ind w:left="360"/>
    </w:pPr>
    <w:rPr>
      <w:rFonts w:ascii="Arial" w:hAnsi="Arial" w:cs="Arial"/>
      <w:sz w:val="28"/>
      <w:szCs w:val="20"/>
    </w:rPr>
  </w:style>
  <w:style w:type="paragraph" w:styleId="NormalWeb">
    <w:name w:val="Normal (Web)"/>
    <w:basedOn w:val="Normal"/>
    <w:uiPriority w:val="99"/>
    <w:qFormat/>
    <w:rsid w:val="00e30deb"/>
    <w:pPr>
      <w:spacing w:beforeAutospacing="1" w:afterAutospacing="1"/>
    </w:pPr>
    <w:rPr/>
  </w:style>
  <w:style w:type="paragraph" w:styleId="Annotationtext">
    <w:name w:val="annotation text"/>
    <w:basedOn w:val="Normal"/>
    <w:link w:val="TekstkomentarzaZnak"/>
    <w:uiPriority w:val="99"/>
    <w:semiHidden/>
    <w:unhideWhenUsed/>
    <w:qFormat/>
    <w:rsid w:val="00c02770"/>
    <w:pPr/>
    <w:rPr>
      <w:sz w:val="20"/>
      <w:szCs w:val="20"/>
    </w:rPr>
  </w:style>
  <w:style w:type="paragraph" w:styleId="Annotationsubject">
    <w:name w:val="annotation subject"/>
    <w:basedOn w:val="Annotationtext"/>
    <w:next w:val="Annotationtext"/>
    <w:link w:val="TematkomentarzaZnak"/>
    <w:uiPriority w:val="99"/>
    <w:semiHidden/>
    <w:unhideWhenUsed/>
    <w:qFormat/>
    <w:rsid w:val="00c02770"/>
    <w:pPr/>
    <w:rPr>
      <w:b/>
      <w:bCs/>
    </w:rPr>
  </w:style>
  <w:style w:type="paragraph" w:styleId="BalloonText">
    <w:name w:val="Balloon Text"/>
    <w:basedOn w:val="Normal"/>
    <w:link w:val="TekstdymkaZnak"/>
    <w:uiPriority w:val="99"/>
    <w:semiHidden/>
    <w:unhideWhenUsed/>
    <w:qFormat/>
    <w:rsid w:val="00c02770"/>
    <w:pPr/>
    <w:rPr>
      <w:rFonts w:ascii="Tahoma" w:hAnsi="Tahoma"/>
      <w:sz w:val="16"/>
      <w:szCs w:val="16"/>
    </w:rPr>
  </w:style>
  <w:style w:type="paragraph" w:styleId="FootnoteText">
    <w:name w:val="Footnote Text"/>
    <w:basedOn w:val="Normal"/>
    <w:link w:val="TekstprzypisudolnegoZnak"/>
    <w:uiPriority w:val="99"/>
    <w:semiHidden/>
    <w:unhideWhenUsed/>
    <w:rsid w:val="00190dc4"/>
    <w:pPr/>
    <w:rPr>
      <w:sz w:val="20"/>
      <w:szCs w:val="20"/>
    </w:rPr>
  </w:style>
  <w:style w:type="paragraph" w:styleId="Gwkaistopka">
    <w:name w:val="Główka i stopka"/>
    <w:basedOn w:val="Normal"/>
    <w:qFormat/>
    <w:pPr/>
    <w:rPr/>
  </w:style>
  <w:style w:type="paragraph" w:styleId="Header">
    <w:name w:val="Header"/>
    <w:basedOn w:val="Normal"/>
    <w:link w:val="Nagwek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Footer">
    <w:name w:val="Footer"/>
    <w:basedOn w:val="Normal"/>
    <w:link w:val="Stopka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EndnoteText">
    <w:name w:val="Endnote Text"/>
    <w:basedOn w:val="Normal"/>
    <w:link w:val="TekstprzypisukocowegoZnak"/>
    <w:uiPriority w:val="99"/>
    <w:semiHidden/>
    <w:unhideWhenUsed/>
    <w:rsid w:val="00942aac"/>
    <w:pPr/>
    <w:rPr>
      <w:sz w:val="20"/>
      <w:szCs w:val="20"/>
    </w:rPr>
  </w:style>
  <w:style w:type="paragraph" w:styleId="ListParagraph">
    <w:name w:val="List Paragraph"/>
    <w:basedOn w:val="Normal"/>
    <w:uiPriority w:val="34"/>
    <w:qFormat/>
    <w:rsid w:val="3fff7563"/>
    <w:pPr>
      <w:spacing w:before="0" w:after="0"/>
      <w:ind w:left="720"/>
      <w:contextualSpacing/>
    </w:pPr>
    <w:rPr/>
  </w:style>
  <w:style w:type="paragraph" w:styleId="Zawartotabeli">
    <w:name w:val="Zawartość tabeli"/>
    <w:basedOn w:val="Normal"/>
    <w:qFormat/>
    <w:pPr>
      <w:widowControl w:val="false"/>
      <w:suppressLineNumbers/>
    </w:pPr>
    <w:rPr/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oleObject" Target="embeddings/oleObject1.bin"/><Relationship Id="rId4" Type="http://schemas.openxmlformats.org/officeDocument/2006/relationships/image" Target="media/image2.wmf"/><Relationship Id="rId5" Type="http://schemas.openxmlformats.org/officeDocument/2006/relationships/footer" Target="footer1.xml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<Relationship Id="rId10" Type="http://schemas.openxmlformats.org/officeDocument/2006/relationships/customXml" Target="../customXml/item1.xml"/><Relationship Id="rId11" Type="http://schemas.openxmlformats.org/officeDocument/2006/relationships/customXml" Target="../customXml/item2.xml"/><Relationship Id="rId12" Type="http://schemas.openxmlformats.org/officeDocument/2006/relationships/customXml" Target="../customXml/item3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_rels/item2.xml.rels><?xml version="1.0" encoding="UTF-8"?>
<Relationships xmlns="http://schemas.openxmlformats.org/package/2006/relationships"><Relationship Id="rId1" Type="http://schemas.openxmlformats.org/officeDocument/2006/relationships/customXmlProps" Target="itemProps2.xml"/>
</Relationships>
</file>

<file path=customXml/_rels/item3.xml.rels><?xml version="1.0" encoding="UTF-8"?>
<Relationships xmlns="http://schemas.openxmlformats.org/package/2006/relationships"><Relationship Id="rId1" Type="http://schemas.openxmlformats.org/officeDocument/2006/relationships/customXmlProps" Target="itemProps3.xml"/>
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689397B8C4AAF4189A18E80A80654D9" ma:contentTypeVersion="5" ma:contentTypeDescription="Utwórz nowy dokument." ma:contentTypeScope="" ma:versionID="0debe9759c2a2cb343042fd66e72a72b">
  <xsd:schema xmlns:xsd="http://www.w3.org/2001/XMLSchema" xmlns:xs="http://www.w3.org/2001/XMLSchema" xmlns:p="http://schemas.microsoft.com/office/2006/metadata/properties" xmlns:ns2="8c6066ec-3877-49a3-b10c-18a72d7ac718" xmlns:ns3="ddb6f9a8-8ab6-4529-a38f-becb8a5be8a1" targetNamespace="http://schemas.microsoft.com/office/2006/metadata/properties" ma:root="true" ma:fieldsID="0822d46b83362b463dbde8b694a5b118" ns2:_="" ns3:_="">
    <xsd:import namespace="8c6066ec-3877-49a3-b10c-18a72d7ac718"/>
    <xsd:import namespace="ddb6f9a8-8ab6-4529-a38f-becb8a5be8a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6066ec-3877-49a3-b10c-18a72d7ac7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b6f9a8-8ab6-4529-a38f-becb8a5be8a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5796B3-F011-4620-98DC-17FD60367FB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987FAAD-EBB6-4C2E-A962-2EBF78FCC7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c6066ec-3877-49a3-b10c-18a72d7ac718"/>
    <ds:schemaRef ds:uri="ddb6f9a8-8ab6-4529-a38f-becb8a5be8a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FBFD635-B8F0-4EDC-8663-890509AF6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Application>LibreOffice/7.6.4.1$Windows_X86_64 LibreOffice_project/e19e193f88cd6c0525a17fb7a176ed8e6a3e2aa1</Application>
  <AppVersion>15.0000</AppVersion>
  <Pages>5</Pages>
  <Words>855</Words>
  <Characters>5511</Characters>
  <CharactersWithSpaces>6171</CharactersWithSpaces>
  <Paragraphs>220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2025-02-17T12:00:00Z</dcterms:created>
  <dc:creator>agh</dc:creator>
  <dc:description/>
  <dc:language>pl-PL</dc:language>
  <cp:lastModifiedBy/>
  <cp:lastPrinted>2019-03-28T19:35:00Z</cp:lastPrinted>
  <dcterms:modified xsi:type="dcterms:W3CDTF">2025-09-29T13:50:58Z</dcterms:modified>
  <cp:revision>12</cp:revision>
  <dc:subject/>
  <dc:title>ZARZĄDZENIE REKTORA nr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